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813A3" w14:textId="534C53F0" w:rsidR="00491E63" w:rsidRDefault="009D288A">
      <w:hyperlink r:id="rId4" w:history="1">
        <w:r>
          <w:rPr>
            <w:rStyle w:val="Hyperlink"/>
          </w:rPr>
          <w:t>Neighbourhood planning activity in West Northamptonshire | West Northamptonshire Council (westnorthants.gov.uk)</w:t>
        </w:r>
      </w:hyperlink>
    </w:p>
    <w:sectPr w:rsidR="00491E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8A"/>
    <w:rsid w:val="003F435C"/>
    <w:rsid w:val="00491E63"/>
    <w:rsid w:val="009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DC4D3"/>
  <w15:chartTrackingRefBased/>
  <w15:docId w15:val="{DE13B698-E4D9-4B55-86AD-0BBFA35D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8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D28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estnorthants.gov.uk/neighbourhood-planning/neighbourhood-plans/neighbourhood-planning-activity-west-northamptonsh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Partridge</dc:creator>
  <cp:keywords/>
  <dc:description/>
  <cp:lastModifiedBy>Lynne Partridge</cp:lastModifiedBy>
  <cp:revision>1</cp:revision>
  <dcterms:created xsi:type="dcterms:W3CDTF">2024-02-20T13:57:00Z</dcterms:created>
  <dcterms:modified xsi:type="dcterms:W3CDTF">2024-02-20T13:58:00Z</dcterms:modified>
</cp:coreProperties>
</file>